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Conflict of Interest Policy</w:t>
      </w:r>
    </w:p>
    <w:p>
      <w:pPr>
        <w:spacing w:after="160"/>
      </w:pPr>
      <w:r>
        <w:rPr>
          <w:rFonts w:ascii="Calibri" w:cs="Calibri" w:eastAsia="Calibri" w:hAnsi="Calibri"/>
          <w:i/>
          <w:iCs/>
          <w:color w:val="2A2A2A"/>
          <w:sz w:val="22"/>
          <w:szCs w:val="22"/>
        </w:rPr>
        <w:t xml:space="preserve">Corella Care Ltd</w:t>
      </w:r>
    </w:p>
    <w:p>
      <w:pPr>
        <w:spacing w:after="320"/>
      </w:pPr>
      <w:r>
        <w:rPr>
          <w:rFonts w:ascii="Calibri" w:cs="Calibri" w:eastAsia="Calibri" w:hAnsi="Calibri"/>
          <w:color w:val="666666"/>
          <w:sz w:val="18"/>
          <w:szCs w:val="18"/>
        </w:rPr>
        <w:t xml:space="preserve">Approved by the Board: 14 August 2025. Applies to all directors, committee members and the Company Secretary.</w:t>
      </w:r>
    </w:p>
    <w:p>
      <w:pPr>
        <w:spacing w:after="120" w:before="280"/>
      </w:pPr>
      <w:r>
        <w:rPr>
          <w:rFonts w:ascii="Calibri" w:cs="Calibri" w:eastAsia="Calibri" w:hAnsi="Calibri"/>
          <w:b/>
          <w:bCs/>
          <w:color w:val="1F4E3D"/>
          <w:sz w:val="26"/>
          <w:szCs w:val="26"/>
        </w:rPr>
        <w:t xml:space="preserve">Purpose</w:t>
      </w:r>
    </w:p>
    <w:p>
      <w:pPr>
        <w:spacing w:after="160"/>
      </w:pPr>
      <w:r>
        <w:rPr>
          <w:rFonts w:ascii="Calibri" w:cs="Calibri" w:eastAsia="Calibri" w:hAnsi="Calibri"/>
          <w:b w:val="false"/>
          <w:bCs w:val="false"/>
          <w:i w:val="false"/>
          <w:iCs w:val="false"/>
          <w:color w:val="2A2A2A"/>
          <w:sz w:val="21"/>
          <w:szCs w:val="21"/>
        </w:rPr>
        <w:t xml:space="preserve">Conflicts of interest are a normal part of board life. This policy exists to make sure they are identified, disclosed and managed transparently, protecting the integrity of Corella Care's decisions and the trust placed in its Board.</w:t>
      </w:r>
    </w:p>
    <w:p>
      <w:pPr>
        <w:spacing w:after="120" w:before="280"/>
      </w:pPr>
      <w:r>
        <w:rPr>
          <w:rFonts w:ascii="Calibri" w:cs="Calibri" w:eastAsia="Calibri" w:hAnsi="Calibri"/>
          <w:b/>
          <w:bCs/>
          <w:color w:val="1F4E3D"/>
          <w:sz w:val="26"/>
          <w:szCs w:val="26"/>
        </w:rPr>
        <w:t xml:space="preserve">What is a Conflict of Interest</w:t>
      </w:r>
    </w:p>
    <w:p>
      <w:pPr>
        <w:spacing w:after="160"/>
      </w:pPr>
      <w:r>
        <w:rPr>
          <w:rFonts w:ascii="Calibri" w:cs="Calibri" w:eastAsia="Calibri" w:hAnsi="Calibri"/>
          <w:b w:val="false"/>
          <w:bCs w:val="false"/>
          <w:i w:val="false"/>
          <w:iCs w:val="false"/>
          <w:color w:val="2A2A2A"/>
          <w:sz w:val="21"/>
          <w:szCs w:val="21"/>
        </w:rPr>
        <w:t xml:space="preserve">A conflict arises when a director's personal interests, relationships, or duties to another organisation could improperly influence a decision before the Board. Conflicts may be actual, already influencing a decision, potential, reasonably likely to arise in future, or perceived, where a reasonable person could believe influence exists even if it does not. If it would look like a conflict from the outside, it should be treated as one.</w:t>
      </w:r>
    </w:p>
    <w:p>
      <w:pPr>
        <w:spacing w:after="120" w:before="280"/>
      </w:pPr>
      <w:r>
        <w:rPr>
          <w:rFonts w:ascii="Calibri" w:cs="Calibri" w:eastAsia="Calibri" w:hAnsi="Calibri"/>
          <w:b/>
          <w:bCs/>
          <w:color w:val="1F4E3D"/>
          <w:sz w:val="26"/>
          <w:szCs w:val="26"/>
        </w:rPr>
        <w:t xml:space="preserve">Examples Relevant to Corella Care</w:t>
      </w:r>
    </w:p>
    <w:p>
      <w:pPr>
        <w:pStyle w:val="ListParagraph"/>
        <w:numPr>
          <w:ilvl w:val="0"/>
          <w:numId w:val="2"/>
        </w:numPr>
        <w:spacing w:after="90"/>
      </w:pPr>
      <w:r>
        <w:rPr>
          <w:rFonts w:ascii="Calibri" w:cs="Calibri" w:eastAsia="Calibri" w:hAnsi="Calibri"/>
          <w:color w:val="2A2A2A"/>
          <w:sz w:val="21"/>
          <w:szCs w:val="21"/>
        </w:rPr>
        <w:t xml:space="preserve">A director, or a close relative, is employed by or seeking employment with Corella Care</w:t>
      </w:r>
    </w:p>
    <w:p>
      <w:pPr>
        <w:pStyle w:val="ListParagraph"/>
        <w:numPr>
          <w:ilvl w:val="0"/>
          <w:numId w:val="2"/>
        </w:numPr>
        <w:spacing w:after="90"/>
      </w:pPr>
      <w:r>
        <w:rPr>
          <w:rFonts w:ascii="Calibri" w:cs="Calibri" w:eastAsia="Calibri" w:hAnsi="Calibri"/>
          <w:color w:val="2A2A2A"/>
          <w:sz w:val="21"/>
          <w:szCs w:val="21"/>
        </w:rPr>
        <w:t xml:space="preserve">A director's business tenders for a Corella Care supply contract, such as catering, maintenance or clinical agency staffing</w:t>
      </w:r>
    </w:p>
    <w:p>
      <w:pPr>
        <w:pStyle w:val="ListParagraph"/>
        <w:numPr>
          <w:ilvl w:val="0"/>
          <w:numId w:val="2"/>
        </w:numPr>
        <w:spacing w:after="90"/>
      </w:pPr>
      <w:r>
        <w:rPr>
          <w:rFonts w:ascii="Calibri" w:cs="Calibri" w:eastAsia="Calibri" w:hAnsi="Calibri"/>
          <w:color w:val="2A2A2A"/>
          <w:sz w:val="21"/>
          <w:szCs w:val="21"/>
        </w:rPr>
        <w:t xml:space="preserve">A director also serves on the board of another aged care or health provider operating in the same region</w:t>
      </w:r>
    </w:p>
    <w:p>
      <w:pPr>
        <w:pStyle w:val="ListParagraph"/>
        <w:numPr>
          <w:ilvl w:val="0"/>
          <w:numId w:val="2"/>
        </w:numPr>
        <w:spacing w:after="90"/>
      </w:pPr>
      <w:r>
        <w:rPr>
          <w:rFonts w:ascii="Calibri" w:cs="Calibri" w:eastAsia="Calibri" w:hAnsi="Calibri"/>
          <w:color w:val="2A2A2A"/>
          <w:sz w:val="21"/>
          <w:szCs w:val="21"/>
        </w:rPr>
        <w:t xml:space="preserve">A director, or a close relative, is a resident, prospective resident, or client of a Corella Care service</w:t>
      </w:r>
    </w:p>
    <w:p>
      <w:pPr>
        <w:spacing w:after="120" w:before="280"/>
      </w:pPr>
      <w:r>
        <w:rPr>
          <w:rFonts w:ascii="Calibri" w:cs="Calibri" w:eastAsia="Calibri" w:hAnsi="Calibri"/>
          <w:b/>
          <w:bCs/>
          <w:color w:val="1F4E3D"/>
          <w:sz w:val="26"/>
          <w:szCs w:val="26"/>
        </w:rPr>
        <w:t xml:space="preserve">Disclosure Obligations</w:t>
      </w:r>
    </w:p>
    <w:p>
      <w:pPr>
        <w:spacing w:after="160"/>
      </w:pPr>
      <w:r>
        <w:rPr>
          <w:rFonts w:ascii="Calibri" w:cs="Calibri" w:eastAsia="Calibri" w:hAnsi="Calibri"/>
          <w:b w:val="false"/>
          <w:bCs w:val="false"/>
          <w:i w:val="false"/>
          <w:iCs w:val="false"/>
          <w:color w:val="2A2A2A"/>
          <w:sz w:val="21"/>
          <w:szCs w:val="21"/>
        </w:rPr>
        <w:t xml:space="preserve">Every director must disclose any actual, potential or perceived conflict at the first board meeting following their appointment, and as soon as any new conflict arises. Conflicts of interest are a standing item on every board and committee meeting agenda.</w:t>
      </w:r>
    </w:p>
    <w:p>
      <w:pPr>
        <w:spacing w:after="120" w:before="280"/>
      </w:pPr>
      <w:r>
        <w:rPr>
          <w:rFonts w:ascii="Calibri" w:cs="Calibri" w:eastAsia="Calibri" w:hAnsi="Calibri"/>
          <w:b/>
          <w:bCs/>
          <w:color w:val="1F4E3D"/>
          <w:sz w:val="26"/>
          <w:szCs w:val="26"/>
        </w:rPr>
        <w:t xml:space="preserve">Managing a Conflict, Step by Step</w:t>
      </w:r>
    </w:p>
    <w:p>
      <w:pPr>
        <w:pStyle w:val="ListParagraph"/>
        <w:numPr>
          <w:ilvl w:val="0"/>
          <w:numId w:val="3"/>
        </w:numPr>
        <w:spacing w:after="90"/>
      </w:pPr>
      <w:r>
        <w:rPr>
          <w:rFonts w:ascii="Calibri" w:cs="Calibri" w:eastAsia="Calibri" w:hAnsi="Calibri"/>
          <w:color w:val="2A2A2A"/>
          <w:sz w:val="21"/>
          <w:szCs w:val="21"/>
        </w:rPr>
        <w:t xml:space="preserve">Disclose the conflict to the Chair and Company Secretary as soon as you become aware of it</w:t>
      </w:r>
    </w:p>
    <w:p>
      <w:pPr>
        <w:pStyle w:val="ListParagraph"/>
        <w:numPr>
          <w:ilvl w:val="0"/>
          <w:numId w:val="3"/>
        </w:numPr>
        <w:spacing w:after="90"/>
      </w:pPr>
      <w:r>
        <w:rPr>
          <w:rFonts w:ascii="Calibri" w:cs="Calibri" w:eastAsia="Calibri" w:hAnsi="Calibri"/>
          <w:color w:val="2A2A2A"/>
          <w:sz w:val="21"/>
          <w:szCs w:val="21"/>
        </w:rPr>
        <w:t xml:space="preserve">The conflict is recorded in the Conflict of Interest Register, the minutes of the relevant meeting, and any related correspondence</w:t>
      </w:r>
    </w:p>
    <w:p>
      <w:pPr>
        <w:pStyle w:val="ListParagraph"/>
        <w:numPr>
          <w:ilvl w:val="0"/>
          <w:numId w:val="3"/>
        </w:numPr>
        <w:spacing w:after="90"/>
      </w:pPr>
      <w:r>
        <w:rPr>
          <w:rFonts w:ascii="Calibri" w:cs="Calibri" w:eastAsia="Calibri" w:hAnsi="Calibri"/>
          <w:color w:val="2A2A2A"/>
          <w:sz w:val="21"/>
          <w:szCs w:val="21"/>
        </w:rPr>
        <w:t xml:space="preserve">Unless the Board determines otherwise, the director withdraws from the discussion and does not vote on the matter</w:t>
      </w:r>
    </w:p>
    <w:p>
      <w:pPr>
        <w:pStyle w:val="ListParagraph"/>
        <w:numPr>
          <w:ilvl w:val="0"/>
          <w:numId w:val="3"/>
        </w:numPr>
        <w:spacing w:after="90"/>
      </w:pPr>
      <w:r>
        <w:rPr>
          <w:rFonts w:ascii="Calibri" w:cs="Calibri" w:eastAsia="Calibri" w:hAnsi="Calibri"/>
          <w:color w:val="2A2A2A"/>
          <w:sz w:val="21"/>
          <w:szCs w:val="21"/>
        </w:rPr>
        <w:t xml:space="preserve">Standing conflicts, such as a dual board membership, are reviewed at least annually and reassessed if circumstances change</w:t>
      </w:r>
    </w:p>
    <w:p>
      <w:pPr>
        <w:spacing w:after="120" w:before="280"/>
      </w:pPr>
      <w:r>
        <w:rPr>
          <w:rFonts w:ascii="Calibri" w:cs="Calibri" w:eastAsia="Calibri" w:hAnsi="Calibri"/>
          <w:b/>
          <w:bCs/>
          <w:color w:val="1F4E3D"/>
          <w:sz w:val="26"/>
          <w:szCs w:val="26"/>
        </w:rPr>
        <w:t xml:space="preserve">The Conflict of Interest Register</w:t>
      </w:r>
    </w:p>
    <w:p>
      <w:pPr>
        <w:spacing w:after="160"/>
      </w:pPr>
      <w:r>
        <w:rPr>
          <w:rFonts w:ascii="Calibri" w:cs="Calibri" w:eastAsia="Calibri" w:hAnsi="Calibri"/>
          <w:b w:val="false"/>
          <w:bCs w:val="false"/>
          <w:i w:val="false"/>
          <w:iCs w:val="false"/>
          <w:color w:val="2A2A2A"/>
          <w:sz w:val="21"/>
          <w:szCs w:val="21"/>
        </w:rPr>
        <w:t xml:space="preserve">The Company Secretary maintains a Conflict of Interest Register recording the director's name, the date the conflict was declared, the nature of the interest, the action taken, and the date it was last reviewed. The Register is tabled at every meeting of the Finance, Audit &amp; Risk Committee.</w:t>
      </w:r>
    </w:p>
    <w:p>
      <w:pPr>
        <w:spacing w:after="100" w:before="200"/>
      </w:pPr>
      <w:r>
        <w:rPr>
          <w:rFonts w:ascii="Calibri" w:cs="Calibri" w:eastAsia="Calibri" w:hAnsi="Calibri"/>
          <w:b/>
          <w:bCs/>
          <w:color w:val="4A7C59"/>
          <w:sz w:val="22"/>
          <w:szCs w:val="22"/>
        </w:rPr>
        <w:t xml:space="preserve">Sample Register Entries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000"/>
        <w:gridCol w:w="1200"/>
        <w:gridCol w:w="3400"/>
        <w:gridCol w:w="3000"/>
        <w:gridCol w:w="1400"/>
      </w:tblGrid>
      <w:tr>
        <w:trPr>
          <w:tblHeader/>
        </w:trPr>
        <w:tc>
          <w:tcPr>
            <w:tcW w:type="dxa" w:w="2000"/>
            <w:shd w:fill="1F4E3D"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Director</w:t>
            </w:r>
          </w:p>
        </w:tc>
        <w:tc>
          <w:tcPr>
            <w:tcW w:type="dxa" w:w="1200"/>
            <w:shd w:fill="1F4E3D"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Date Declared</w:t>
            </w:r>
          </w:p>
        </w:tc>
        <w:tc>
          <w:tcPr>
            <w:tcW w:type="dxa" w:w="3400"/>
            <w:shd w:fill="1F4E3D"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Nature of Interest</w:t>
            </w:r>
          </w:p>
        </w:tc>
        <w:tc>
          <w:tcPr>
            <w:tcW w:type="dxa" w:w="3000"/>
            <w:shd w:fill="1F4E3D"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Action Taken</w:t>
            </w:r>
          </w:p>
        </w:tc>
        <w:tc>
          <w:tcPr>
            <w:tcW w:type="dxa" w:w="1400"/>
            <w:shd w:fill="1F4E3D"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Review Date</w:t>
            </w:r>
          </w:p>
        </w:tc>
      </w:tr>
      <w:tr>
        <w:tc>
          <w:tcPr>
            <w:tcW w:type="dxa" w:w="2000"/>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Michael Petrakis, Director</w:t>
            </w:r>
          </w:p>
        </w:tc>
        <w:tc>
          <w:tcPr>
            <w:tcW w:type="dxa" w:w="1200"/>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12 Mar 2025</w:t>
            </w:r>
          </w:p>
        </w:tc>
        <w:tc>
          <w:tcPr>
            <w:tcW w:type="dxa" w:w="3400"/>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Engaged as a paid consultant to an aged care provider in a neighbouring region</w:t>
            </w:r>
          </w:p>
        </w:tc>
        <w:tc>
          <w:tcPr>
            <w:tcW w:type="dxa" w:w="3000"/>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Declared and noted, no active conflict identified on current board matters</w:t>
            </w:r>
          </w:p>
        </w:tc>
        <w:tc>
          <w:tcPr>
            <w:tcW w:type="dxa" w:w="1400"/>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Mar 2026</w:t>
            </w:r>
          </w:p>
        </w:tc>
      </w:tr>
      <w:tr>
        <w:tc>
          <w:tcPr>
            <w:tcW w:type="dxa" w:w="2000"/>
            <w:shd w:fill="E9F2ED" w:val="clear"/>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Tom Reardon, Director</w:t>
            </w:r>
          </w:p>
        </w:tc>
        <w:tc>
          <w:tcPr>
            <w:tcW w:type="dxa" w:w="1200"/>
            <w:shd w:fill="E9F2ED" w:val="clear"/>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4 Jun 2025</w:t>
            </w:r>
          </w:p>
        </w:tc>
        <w:tc>
          <w:tcPr>
            <w:tcW w:type="dxa" w:w="3400"/>
            <w:shd w:fill="E9F2ED" w:val="clear"/>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Reardon Rural Supplies, a family agribusiness, submitted a tender for the Corella Gardens grounds maintenance contract</w:t>
            </w:r>
          </w:p>
        </w:tc>
        <w:tc>
          <w:tcPr>
            <w:tcW w:type="dxa" w:w="3000"/>
            <w:shd w:fill="E9F2ED" w:val="clear"/>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Declared, withdrew from discussion and vote, alternative supplier appointed</w:t>
            </w:r>
          </w:p>
        </w:tc>
        <w:tc>
          <w:tcPr>
            <w:tcW w:type="dxa" w:w="1400"/>
            <w:shd w:fill="E9F2ED" w:val="clear"/>
            <w:tcMar>
              <w:top w:type="dxa" w:w="100"/>
              <w:left w:type="dxa" w:w="120"/>
              <w:bottom w:type="dxa" w:w="100"/>
              <w:right w:type="dxa" w:w="120"/>
            </w:tcMar>
            <w:vAlign w:val="center"/>
          </w:tcPr>
          <w:p>
            <w:r>
              <w:rPr>
                <w:rFonts w:ascii="Calibri" w:cs="Calibri" w:eastAsia="Calibri" w:hAnsi="Calibri"/>
                <w:b w:val="false"/>
                <w:bCs w:val="false"/>
                <w:color w:val="2A2A2A"/>
                <w:sz w:val="19"/>
                <w:szCs w:val="19"/>
              </w:rPr>
              <w:t xml:space="preserve">Resolved, closed</w:t>
            </w:r>
          </w:p>
        </w:tc>
      </w:tr>
    </w:tbl>
    <w:p>
      <w:pPr>
        <w:spacing w:after="120"/>
      </w:pPr>
    </w:p>
    <w:p>
      <w:pPr>
        <w:spacing w:after="160"/>
      </w:pPr>
      <w:r>
        <w:rPr>
          <w:rFonts w:ascii="Calibri" w:cs="Calibri" w:eastAsia="Calibri" w:hAnsi="Calibri"/>
          <w:b w:val="false"/>
          <w:bCs w:val="false"/>
          <w:i/>
          <w:iCs/>
          <w:color w:val="2A2A2A"/>
          <w:sz w:val="21"/>
          <w:szCs w:val="21"/>
        </w:rPr>
        <w:t xml:space="preserve">A sample Conflict of Interest Declaration Form is available from the Company Secretary for directors to complete when a new conflict arises.</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2026-08-19T23:05:09.722Z</dcterms:created>
  <dcterms:modified xsi:type="dcterms:W3CDTF">2026-08-19T23:05:09.722Z</dcterms:modified>
</cp:coreProperties>
</file>

<file path=docProps/custom.xml><?xml version="1.0" encoding="utf-8"?>
<Properties xmlns="http://schemas.openxmlformats.org/officeDocument/2006/custom-properties" xmlns:vt="http://schemas.openxmlformats.org/officeDocument/2006/docPropsVTypes"/>
</file>